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E00367" w:rsidRDefault="000E3F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 w:rsidRPr="00E00367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72592" w:rsidRPr="00E00367" w:rsidRDefault="00872592" w:rsidP="00872592">
      <w:pPr>
        <w:pStyle w:val="af0"/>
        <w:rPr>
          <w:sz w:val="28"/>
        </w:rPr>
      </w:pPr>
    </w:p>
    <w:p w:rsidR="00872592" w:rsidRPr="00E00367" w:rsidRDefault="00872592" w:rsidP="00872592">
      <w:pPr>
        <w:pStyle w:val="af0"/>
        <w:rPr>
          <w:rFonts w:ascii="Times New Roman" w:hAnsi="Times New Roman" w:cs="Times New Roman"/>
          <w:spacing w:val="80"/>
          <w:sz w:val="28"/>
        </w:rPr>
      </w:pPr>
      <w:r w:rsidRPr="00E00367">
        <w:rPr>
          <w:rFonts w:ascii="Times New Roman" w:hAnsi="Times New Roman" w:cs="Times New Roman"/>
          <w:spacing w:val="80"/>
          <w:sz w:val="28"/>
        </w:rPr>
        <w:t>ГЛАВА</w:t>
      </w:r>
    </w:p>
    <w:p w:rsidR="00872592" w:rsidRPr="00E00367" w:rsidRDefault="00B31C63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E00367">
        <w:rPr>
          <w:rFonts w:ascii="Times New Roman" w:hAnsi="Times New Roman" w:cs="Times New Roman"/>
          <w:b/>
          <w:caps/>
          <w:spacing w:val="80"/>
          <w:sz w:val="28"/>
        </w:rPr>
        <w:t>НОВОЦАРИЦЫНСКОГО</w:t>
      </w:r>
      <w:r w:rsidR="00872592" w:rsidRPr="00E00367">
        <w:rPr>
          <w:rFonts w:ascii="Times New Roman" w:hAnsi="Times New Roman" w:cs="Times New Roman"/>
          <w:b/>
          <w:caps/>
          <w:spacing w:val="80"/>
          <w:sz w:val="28"/>
        </w:rPr>
        <w:t>СЕЛЬСКОГО ПОСЕЛЕНИЯ МОСКАЛЕНСКОГО муниципальногО</w:t>
      </w:r>
    </w:p>
    <w:p w:rsidR="00872592" w:rsidRPr="00E00367" w:rsidRDefault="00872592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E00367"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872592" w:rsidRPr="00E00367" w:rsidRDefault="00872592" w:rsidP="00872592">
      <w:pPr>
        <w:pStyle w:val="af1"/>
        <w:spacing w:after="0"/>
        <w:rPr>
          <w:rFonts w:ascii="Times New Roman" w:hAnsi="Times New Roman" w:cs="Times New Roman"/>
          <w:sz w:val="28"/>
        </w:rPr>
      </w:pPr>
    </w:p>
    <w:p w:rsidR="00872592" w:rsidRPr="00E00367" w:rsidRDefault="00872592" w:rsidP="00872592">
      <w:pPr>
        <w:pStyle w:val="af0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 w:rsidRPr="00E00367"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872592" w:rsidRPr="00E00367" w:rsidRDefault="00872592" w:rsidP="00872592">
      <w:pPr>
        <w:rPr>
          <w:rFonts w:ascii="Times New Roman" w:hAnsi="Times New Roman" w:cs="Times New Roman"/>
          <w:smallCaps/>
          <w:kern w:val="2"/>
          <w:sz w:val="14"/>
        </w:rPr>
      </w:pPr>
    </w:p>
    <w:p w:rsidR="00872592" w:rsidRPr="00E00367" w:rsidRDefault="00872592" w:rsidP="00872592">
      <w:pPr>
        <w:pStyle w:val="af3"/>
        <w:rPr>
          <w:rFonts w:ascii="Times New Roman" w:hAnsi="Times New Roman"/>
          <w:kern w:val="2"/>
        </w:rPr>
      </w:pPr>
      <w:r w:rsidRPr="00E00367">
        <w:rPr>
          <w:rFonts w:ascii="Times New Roman" w:hAnsi="Times New Roman"/>
          <w:kern w:val="2"/>
        </w:rPr>
        <w:t xml:space="preserve"> №</w:t>
      </w:r>
    </w:p>
    <w:p w:rsidR="00BF341E" w:rsidRPr="00E00367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BA" w:rsidRPr="00E00367" w:rsidRDefault="00BF341E" w:rsidP="000B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233C5">
        <w:rPr>
          <w:rFonts w:ascii="Times New Roman" w:hAnsi="Times New Roman" w:cs="Times New Roman"/>
          <w:sz w:val="28"/>
          <w:szCs w:val="28"/>
        </w:rPr>
        <w:t>от 27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.09.2016 № </w:t>
      </w:r>
      <w:r w:rsidR="00E233C5">
        <w:rPr>
          <w:rFonts w:ascii="Times New Roman" w:hAnsi="Times New Roman" w:cs="Times New Roman"/>
          <w:sz w:val="28"/>
          <w:szCs w:val="28"/>
        </w:rPr>
        <w:t>94</w:t>
      </w:r>
      <w:r w:rsidRPr="00E0036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60357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>нормативных затрат для</w:t>
      </w:r>
      <w:r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муниципальных нужд </w:t>
      </w:r>
      <w:r w:rsidR="00B31C63" w:rsidRPr="00E00367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 район</w:t>
      </w:r>
      <w:bookmarkStart w:id="0" w:name="_GoBack"/>
      <w:bookmarkEnd w:id="0"/>
      <w:r w:rsidRPr="00E00367">
        <w:rPr>
          <w:rFonts w:ascii="Times New Roman" w:hAnsi="Times New Roman" w:cs="Times New Roman"/>
          <w:sz w:val="28"/>
          <w:szCs w:val="28"/>
        </w:rPr>
        <w:t xml:space="preserve">а </w:t>
      </w:r>
      <w:r w:rsidR="00561D3E" w:rsidRPr="00E00367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E00367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E00367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E00367" w:rsidRDefault="00BF341E" w:rsidP="00F336A9">
      <w:pPr>
        <w:pStyle w:val="ConsPlusTitle"/>
        <w:jc w:val="both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r w:rsidR="00B31C63" w:rsidRPr="00E00367">
        <w:rPr>
          <w:rFonts w:ascii="Times New Roman" w:hAnsi="Times New Roman" w:cs="Times New Roman"/>
          <w:b w:val="0"/>
          <w:bCs w:val="0"/>
        </w:rPr>
        <w:t>Новоцарицынского</w:t>
      </w:r>
      <w:r w:rsidR="00460357">
        <w:rPr>
          <w:rFonts w:ascii="Times New Roman" w:hAnsi="Times New Roman" w:cs="Times New Roman"/>
          <w:b w:val="0"/>
          <w:bCs w:val="0"/>
        </w:rPr>
        <w:t xml:space="preserve"> </w:t>
      </w:r>
      <w:r w:rsidR="00F336A9" w:rsidRPr="00E0036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Pr="00E00367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F336A9" w:rsidRPr="00E00367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333E6F">
        <w:rPr>
          <w:rFonts w:ascii="Times New Roman" w:hAnsi="Times New Roman" w:cs="Times New Roman"/>
          <w:b w:val="0"/>
          <w:bCs w:val="0"/>
        </w:rPr>
        <w:t>от 14.07.2022</w:t>
      </w:r>
      <w:r w:rsidRPr="00E00367">
        <w:rPr>
          <w:rFonts w:ascii="Times New Roman" w:hAnsi="Times New Roman" w:cs="Times New Roman"/>
          <w:b w:val="0"/>
          <w:bCs w:val="0"/>
        </w:rPr>
        <w:t xml:space="preserve"> № </w:t>
      </w:r>
      <w:r w:rsidR="00333E6F">
        <w:rPr>
          <w:rFonts w:ascii="Times New Roman" w:hAnsi="Times New Roman" w:cs="Times New Roman"/>
          <w:b w:val="0"/>
          <w:bCs w:val="0"/>
        </w:rPr>
        <w:t>48</w:t>
      </w:r>
      <w:r w:rsidR="00F336A9" w:rsidRPr="00E00367">
        <w:rPr>
          <w:rFonts w:ascii="Times New Roman" w:hAnsi="Times New Roman" w:cs="Times New Roman"/>
          <w:b w:val="0"/>
          <w:bCs w:val="0"/>
        </w:rPr>
        <w:t>«</w:t>
      </w:r>
      <w:r w:rsidR="00F336A9" w:rsidRPr="00E00367"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711BE6" w:rsidRPr="00E00367">
        <w:rPr>
          <w:rFonts w:ascii="Times New Roman" w:hAnsi="Times New Roman" w:cs="Times New Roman"/>
          <w:b w:val="0"/>
        </w:rPr>
        <w:t xml:space="preserve">, </w:t>
      </w:r>
      <w:r w:rsidR="00F336A9" w:rsidRPr="00E00367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Pr="00E00367">
        <w:rPr>
          <w:rFonts w:ascii="Times New Roman" w:hAnsi="Times New Roman" w:cs="Times New Roman"/>
          <w:b w:val="0"/>
          <w:bCs w:val="0"/>
        </w:rPr>
        <w:t xml:space="preserve">, руководствуясь Уставом </w:t>
      </w:r>
      <w:r w:rsidR="00B31C63" w:rsidRPr="00E00367">
        <w:rPr>
          <w:rFonts w:ascii="Times New Roman" w:hAnsi="Times New Roman" w:cs="Times New Roman"/>
          <w:b w:val="0"/>
          <w:bCs w:val="0"/>
        </w:rPr>
        <w:t>Новоцарицынского</w:t>
      </w:r>
      <w:r w:rsidR="00460357">
        <w:rPr>
          <w:rFonts w:ascii="Times New Roman" w:hAnsi="Times New Roman" w:cs="Times New Roman"/>
          <w:b w:val="0"/>
          <w:bCs w:val="0"/>
        </w:rPr>
        <w:t xml:space="preserve"> </w:t>
      </w:r>
      <w:r w:rsidR="00561D3E" w:rsidRPr="00E0036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Pr="00E00367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561D3E" w:rsidRPr="00E00367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Pr="00E00367">
        <w:rPr>
          <w:rFonts w:ascii="Times New Roman" w:hAnsi="Times New Roman" w:cs="Times New Roman"/>
          <w:b w:val="0"/>
          <w:bCs w:val="0"/>
        </w:rPr>
        <w:t>ПОСТАНОВЛЯЮ:</w:t>
      </w:r>
    </w:p>
    <w:p w:rsidR="00BF341E" w:rsidRPr="00E00367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E00367" w:rsidRDefault="00BF341E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1.</w:t>
      </w:r>
      <w:r w:rsidR="00FC7E1B" w:rsidRPr="00E0036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E0036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sz w:val="28"/>
          <w:szCs w:val="28"/>
        </w:rPr>
        <w:t xml:space="preserve"> 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E233C5">
        <w:rPr>
          <w:rFonts w:ascii="Times New Roman" w:hAnsi="Times New Roman" w:cs="Times New Roman"/>
          <w:sz w:val="28"/>
          <w:szCs w:val="28"/>
        </w:rPr>
        <w:t>27.09.2016 № 94</w:t>
      </w:r>
      <w:r w:rsidR="000A334B" w:rsidRPr="00E0036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334B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B31C63" w:rsidRPr="00E00367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4B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A334B"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</w:t>
      </w:r>
      <w:r w:rsidR="00FC7E1B" w:rsidRPr="00E00367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E00367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2.  </w:t>
      </w:r>
      <w:r w:rsidR="009C75D9" w:rsidRPr="00E003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75D9" w:rsidRPr="00E00367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20A58" w:rsidRPr="00E00367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920A58" w:rsidRPr="00E00367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B31C63" w:rsidRPr="00E00367">
        <w:rPr>
          <w:rFonts w:ascii="Times New Roman" w:hAnsi="Times New Roman" w:cs="Times New Roman"/>
          <w:sz w:val="28"/>
          <w:szCs w:val="28"/>
        </w:rPr>
        <w:t>М.А.Абельдинова</w:t>
      </w:r>
    </w:p>
    <w:p w:rsidR="00920A58" w:rsidRPr="00E00367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E00367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E00367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E00367" w:rsidTr="00920A58">
        <w:tc>
          <w:tcPr>
            <w:tcW w:w="4962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E00367" w:rsidRDefault="00920A58" w:rsidP="00C13ED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4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Москаленского муниципального района </w:t>
            </w:r>
            <w:r w:rsidR="00BA469E" w:rsidRPr="00E00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мской области от</w:t>
            </w:r>
            <w:r w:rsidR="004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920A58" w:rsidRPr="00E00367" w:rsidTr="00920A58">
        <w:tc>
          <w:tcPr>
            <w:tcW w:w="4962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E00367" w:rsidRDefault="00920A58" w:rsidP="00BA46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4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</w:t>
            </w:r>
            <w:r w:rsidR="00BA469E" w:rsidRPr="00E00367">
              <w:rPr>
                <w:rFonts w:ascii="Times New Roman" w:hAnsi="Times New Roman" w:cs="Times New Roman"/>
                <w:sz w:val="28"/>
                <w:szCs w:val="28"/>
              </w:rPr>
              <w:t>ленского муниципального района О</w:t>
            </w:r>
            <w:r w:rsidR="00E233C5">
              <w:rPr>
                <w:rFonts w:ascii="Times New Roman" w:hAnsi="Times New Roman" w:cs="Times New Roman"/>
                <w:sz w:val="28"/>
                <w:szCs w:val="28"/>
              </w:rPr>
              <w:t>мской области от 27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.09.2016 № </w:t>
            </w:r>
            <w:r w:rsidR="00E233C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920A58" w:rsidRPr="00E00367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E00367" w:rsidRDefault="00B31C63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58" w:rsidRPr="00E0036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Москаленского муниципального района Омской области 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460357">
        <w:rPr>
          <w:rFonts w:ascii="Times New Roman" w:hAnsi="Times New Roman" w:cs="Times New Roman"/>
          <w:sz w:val="28"/>
          <w:szCs w:val="28"/>
        </w:rPr>
        <w:t xml:space="preserve"> </w:t>
      </w:r>
      <w:r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</w:t>
      </w:r>
      <w:r w:rsidR="00A9187E" w:rsidRPr="00E0036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00367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E00367">
        <w:rPr>
          <w:rFonts w:ascii="Times New Roman" w:hAnsi="Times New Roman" w:cs="Times New Roman"/>
          <w:sz w:val="28"/>
          <w:szCs w:val="28"/>
        </w:rPr>
        <w:t>и поселения</w:t>
      </w:r>
      <w:r w:rsidR="00872592" w:rsidRPr="00E00367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E0036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00367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E00367">
        <w:rPr>
          <w:rFonts w:ascii="Times New Roman" w:hAnsi="Times New Roman" w:cs="Times New Roman"/>
          <w:sz w:val="28"/>
          <w:szCs w:val="28"/>
        </w:rPr>
        <w:t>поселения</w:t>
      </w:r>
      <w:r w:rsidRPr="00E00367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учрежденияутвержденных постановлением Правительства Российской Федерации от 13 октября 2014 года № 1047.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ab/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</w:r>
      <w:r w:rsidRPr="00E00367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4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E00367">
        <w:rPr>
          <w:rFonts w:ascii="Times New Roman" w:hAnsi="Times New Roman" w:cs="Times New Roman"/>
          <w:sz w:val="28"/>
          <w:szCs w:val="28"/>
        </w:rPr>
        <w:tab/>
      </w:r>
      <w:bookmarkEnd w:id="1"/>
      <w:r w:rsidRPr="00E00367">
        <w:rPr>
          <w:rFonts w:ascii="Times New Roman" w:hAnsi="Times New Roman" w:cs="Times New Roman"/>
          <w:sz w:val="28"/>
          <w:szCs w:val="28"/>
        </w:rPr>
        <w:t>1.1. Затраты на техническое обслуживание и регламентно-профилактический ремонт вычислительной 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год, определяемая в соответствии с</w:t>
      </w:r>
      <w:hyperlink w:anchor="P896" w:history="1"/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E00367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Qi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E00367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E00367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E00367">
        <w:rPr>
          <w:rFonts w:ascii="Times New Roman" w:hAnsi="Times New Roman" w:cs="Times New Roman"/>
          <w:sz w:val="28"/>
          <w:szCs w:val="28"/>
        </w:rPr>
        <w:tab/>
      </w:r>
      <w:bookmarkEnd w:id="2"/>
      <w:r w:rsidRPr="00E00367">
        <w:rPr>
          <w:rFonts w:ascii="Times New Roman" w:hAnsi="Times New Roman" w:cs="Times New Roman"/>
          <w:sz w:val="28"/>
          <w:szCs w:val="28"/>
        </w:rPr>
        <w:t>1.3.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E00367">
        <w:rPr>
          <w:rFonts w:ascii="Times New Roman" w:hAnsi="Times New Roman" w:cs="Times New Roman"/>
          <w:sz w:val="28"/>
          <w:szCs w:val="28"/>
        </w:rPr>
        <w:tab/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E00367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 </w:t>
      </w:r>
      <w:hyperlink w:anchor="P9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M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i-й справочно-правовой системы.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Pr="00E00367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gипо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M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jпнл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 w:rsidRPr="00E00367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программного продукта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 w:rsidRPr="00E00367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E00367">
        <w:rPr>
          <w:rFonts w:ascii="Times New Roman" w:hAnsi="Times New Roman" w:cs="Times New Roman"/>
          <w:sz w:val="28"/>
          <w:szCs w:val="28"/>
        </w:rPr>
        <w:t>4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E00367">
        <w:rPr>
          <w:rFonts w:ascii="Times New Roman" w:hAnsi="Times New Roman" w:cs="Times New Roman"/>
          <w:sz w:val="28"/>
          <w:szCs w:val="28"/>
        </w:rPr>
        <w:t>4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(KasperskyEndpointSecurity)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«СБИС++ ЭО-Базовый,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46697F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:rsidR="0046697F" w:rsidRPr="00E00367" w:rsidRDefault="00F24727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«Администрация муниципального образования»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E00367" w:rsidRDefault="00F24727" w:rsidP="00F247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70000</w:t>
            </w:r>
          </w:p>
        </w:tc>
      </w:tr>
    </w:tbl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65pt;height:43.2pt" o:ole="" filled="t">
            <v:fill opacity="0" color2="black"/>
            <v:imagedata r:id="rId20" o:title=""/>
          </v:shape>
          <o:OLEObject Type="Embed" ProgID="Equation.3" ShapeID="_x0000_i1025" DrawAspect="Content" ObjectID="_1754997020" r:id="rId21"/>
        </w:object>
      </w: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i-й должности;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3.3pt;height:43.2pt" o:ole="" filled="t">
            <v:fill opacity="0" color2="black"/>
            <v:imagedata r:id="rId27" o:title=""/>
          </v:shape>
          <o:OLEObject Type="Embed" ProgID="Equation.3" ShapeID="_x0000_i1026" DrawAspect="Content" ObjectID="_1754997021" r:id="rId28"/>
        </w:objec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запасных или составных частей для вычислительной техники, определяемое в соответствии с </w:t>
      </w:r>
      <w:hyperlink w:anchor="P26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i-й запасной или составной части для вычислительной техники, определяемая в соответствии с </w:t>
      </w:r>
      <w:hyperlink w:anchor="P26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E00367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Переносной картридер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должности, определяемое в соответствии с </w:t>
      </w:r>
      <w:hyperlink w:anchor="P38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должности, определяемая в соответствии с </w:t>
      </w:r>
      <w:hyperlink w:anchor="P38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E00367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(USB-флэш)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Оптический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 штук 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4.3.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должности, определяемый в соответствии с </w:t>
      </w:r>
      <w:hyperlink w:anchor="P4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должности, определяемая в соответствии с </w:t>
      </w:r>
      <w:hyperlink w:anchor="P4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ед. расходного материала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E00367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20 000,00 руб. - черно-белого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E0036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год, определяемое в соответствии с </w:t>
      </w:r>
      <w:hyperlink w:anchor="P47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6.1. Затраты на техническое обслуживание и регламентно-профилактический ремонт систем кондиционирования и вентиляции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 определяемое в соответствии с </w:t>
      </w:r>
      <w:hyperlink w:anchor="P5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определяемая в соответствии с </w:t>
      </w:r>
      <w:hyperlink w:anchor="P5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E00367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на техническое обслуживание и регламентно-профилактический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установки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 Затраты на приобретение прочих работ и услуг, не относящиеся к затратам на услуги связи,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7.1. Затраты на оплату типографских работ и услуг, включая приобретение периодических печатных изданий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 и бланков строгой отчетности;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7.2. Затраты на приобретение спецжурналов и бланков строгой отчетности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спецжурналов, определяемое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i-госпецжурнала, определяемая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спец</w:t>
      </w:r>
      <w:r w:rsidR="00641BFA" w:rsidRPr="00E00367">
        <w:rPr>
          <w:rFonts w:ascii="Times New Roman" w:hAnsi="Times New Roman" w:cs="Times New Roman"/>
        </w:rPr>
        <w:t>.</w:t>
      </w:r>
      <w:r w:rsidRPr="00E00367">
        <w:rPr>
          <w:rFonts w:ascii="Times New Roman" w:hAnsi="Times New Roman" w:cs="Times New Roman"/>
        </w:rPr>
        <w:t>журналов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журнала и бланка строгой отчетности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lastRenderedPageBreak/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i-ом печатном издании, определяемая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500 кв.см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 руб./1 кв. см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7.6. Затраты на проведение предрейсового и послерейсового осмотра водителей</w:t>
      </w:r>
      <w:r w:rsidRPr="00E00367">
        <w:rPr>
          <w:rFonts w:ascii="Times New Roman" w:hAnsi="Times New Roman" w:cs="Times New Roman"/>
          <w:sz w:val="28"/>
          <w:szCs w:val="28"/>
        </w:rPr>
        <w:t xml:space="preserve"> транспортных средств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E00367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E00367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18B7" w:rsidRPr="00E0036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E00367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E00367">
        <w:rPr>
          <w:rFonts w:ascii="Times New Roman" w:hAnsi="Times New Roman" w:cs="Times New Roman"/>
          <w:sz w:val="28"/>
          <w:szCs w:val="28"/>
        </w:rPr>
        <w:t>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O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i-x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E00367">
        <w:rPr>
          <w:rFonts w:ascii="Times New Roman" w:hAnsi="Times New Roman" w:cs="Times New Roman"/>
          <w:sz w:val="28"/>
          <w:szCs w:val="28"/>
        </w:rPr>
        <w:t>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кондиционирования, но не более 30 000,00 рубля.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E00367">
        <w:rPr>
          <w:rFonts w:ascii="Times New Roman" w:hAnsi="Times New Roman" w:cs="Times New Roman"/>
          <w:sz w:val="28"/>
          <w:szCs w:val="28"/>
        </w:rPr>
        <w:t>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9.3. Затраты на приобретение хозяйственных товаров и принадлежностей</w:t>
      </w:r>
      <w:r w:rsidRPr="00E00367">
        <w:rPr>
          <w:rFonts w:ascii="Times New Roman" w:hAnsi="Times New Roman" w:cs="Times New Roman"/>
          <w:sz w:val="28"/>
          <w:szCs w:val="28"/>
        </w:rPr>
        <w:t>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9.7. Затраты на строительные работы,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7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9.10. </w:t>
      </w:r>
      <w:r w:rsidRPr="00E0036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00367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определяемое в соответствии с </w:t>
      </w:r>
      <w:hyperlink w:anchor="P78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 </w:t>
      </w:r>
      <w:hyperlink w:anchor="P78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образовательных услуг по профессиональной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075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обучающих мероприятий, определяемое в соответствии с </w:t>
      </w:r>
      <w:hyperlink w:anchor="P85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i-му виду обучающих мероприятий, определяемая в соответствии с </w:t>
      </w:r>
      <w:hyperlink w:anchor="P85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E00367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r w:rsidRPr="00E00367">
        <w:rPr>
          <w:rFonts w:ascii="Times New Roman" w:hAnsi="Times New Roman" w:cs="Times New Roman"/>
          <w:b w:val="0"/>
        </w:rPr>
        <w:t xml:space="preserve"> (</w:t>
      </w:r>
      <w:r w:rsidRPr="00E00367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</w:rPr>
        <w:t xml:space="preserve"> – </w:t>
      </w:r>
      <w:r w:rsidRPr="00E00367">
        <w:rPr>
          <w:rFonts w:ascii="Times New Roman" w:hAnsi="Times New Roman" w:cs="Times New Roman"/>
          <w:b w:val="0"/>
        </w:rPr>
        <w:t>цена проезда к месту нахождения учебного заведения по i-му направлению.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H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E00367">
        <w:rPr>
          <w:rFonts w:ascii="Times New Roman" w:hAnsi="Times New Roman" w:cs="Times New Roman"/>
          <w:sz w:val="28"/>
          <w:szCs w:val="28"/>
        </w:rPr>
        <w:t>5</w:t>
      </w:r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E00367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E00367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11.3. Затраты на сеть "Интернет" и услуги интернет-провайдеров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i-й пропускной способностью;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i-й пропускной способностью;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i-й пропускной способностью.</w:t>
      </w:r>
    </w:p>
    <w:p w:rsidR="00920A58" w:rsidRPr="00E00367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E00367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E00367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E00367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E00367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(тип-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Мбит/с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E00367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 w:rsidRPr="00E00367"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12.2. Затраты на электроснабжение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12.3. Затраты на теплоснабжение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</w:rPr>
        <w:t>13. Нормативные затраты на техническое обслуживание и регламентно-профилактический ремонт систем охранно-тревожной сигнализации</w:t>
      </w:r>
      <w:r w:rsidRPr="00E00367">
        <w:rPr>
          <w:rFonts w:ascii="Times New Roman" w:hAnsi="Times New Roman" w:cs="Times New Roman"/>
          <w:b w:val="0"/>
        </w:rPr>
        <w:t xml:space="preserve"> (З</w:t>
      </w:r>
      <w:r w:rsidRPr="00E00367">
        <w:rPr>
          <w:rFonts w:ascii="Times New Roman" w:hAnsi="Times New Roman" w:cs="Times New Roman"/>
          <w:b w:val="0"/>
          <w:vertAlign w:val="subscript"/>
        </w:rPr>
        <w:t>ос</w:t>
      </w:r>
      <w:r w:rsidRPr="00E00367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14. Нормативные затраты на техническое обслуживание и регламентно-профилактический ремонт систем пожарной сигнализации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 (</w:t>
      </w:r>
      <w:r w:rsidRPr="00E00367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E00367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E00367">
        <w:rPr>
          <w:rFonts w:ascii="Times New Roman" w:hAnsi="Times New Roman" w:cs="Times New Roman"/>
          <w:b/>
          <w:sz w:val="28"/>
          <w:szCs w:val="28"/>
        </w:rPr>
        <w:t>16.</w:t>
      </w:r>
      <w:r w:rsidRPr="00E00367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E00367" w:rsidRDefault="00B31C63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075D5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75D5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920A58" w:rsidRPr="00E00367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r w:rsidR="00B31C63" w:rsidRPr="00E00367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6075D5" w:rsidRPr="00E0036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00367"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  <w:r w:rsidR="006075D5" w:rsidRPr="00E00367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E00367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E00367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E00367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E0036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69632E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E00367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E00367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обеспечения </w:t>
      </w:r>
      <w:r w:rsidR="00B31C63" w:rsidRPr="00E00367">
        <w:rPr>
          <w:rFonts w:ascii="Times New Roman" w:hAnsi="Times New Roman" w:cs="Times New Roman"/>
        </w:rPr>
        <w:t>Новоцарицынского</w:t>
      </w:r>
      <w:r w:rsidR="0069632E" w:rsidRPr="00E00367">
        <w:rPr>
          <w:rFonts w:ascii="Times New Roman" w:hAnsi="Times New Roman" w:cs="Times New Roman"/>
        </w:rPr>
        <w:t>сельского поселения</w:t>
      </w:r>
      <w:r w:rsidRPr="00E00367">
        <w:rPr>
          <w:rFonts w:ascii="Times New Roman" w:hAnsi="Times New Roman" w:cs="Times New Roman"/>
        </w:rPr>
        <w:t xml:space="preserve">Москаленского муниципального района </w:t>
      </w:r>
      <w:r w:rsidR="00286C9F" w:rsidRPr="00E00367">
        <w:rPr>
          <w:rFonts w:ascii="Times New Roman" w:hAnsi="Times New Roman" w:cs="Times New Roman"/>
        </w:rPr>
        <w:t>О</w:t>
      </w:r>
      <w:r w:rsidR="0069632E" w:rsidRPr="00E00367">
        <w:rPr>
          <w:rFonts w:ascii="Times New Roman" w:hAnsi="Times New Roman" w:cs="Times New Roman"/>
        </w:rPr>
        <w:t>мской области</w:t>
      </w:r>
      <w:r w:rsidRPr="00E00367">
        <w:rPr>
          <w:rFonts w:ascii="Times New Roman" w:hAnsi="Times New Roman" w:cs="Times New Roman"/>
        </w:rPr>
        <w:t xml:space="preserve">, применяемые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E00367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E00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E00367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E00367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E0036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E00367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обеспечения работников </w:t>
      </w:r>
      <w:r w:rsidR="00B31C63" w:rsidRPr="00E00367">
        <w:rPr>
          <w:rFonts w:ascii="Times New Roman" w:hAnsi="Times New Roman" w:cs="Times New Roman"/>
        </w:rPr>
        <w:t>Новоцарицынского</w:t>
      </w:r>
      <w:r w:rsidR="0069632E" w:rsidRPr="00E00367">
        <w:rPr>
          <w:rFonts w:ascii="Times New Roman" w:hAnsi="Times New Roman" w:cs="Times New Roman"/>
        </w:rPr>
        <w:t>сельского поселения</w:t>
      </w:r>
      <w:r w:rsidRPr="00E00367">
        <w:rPr>
          <w:rFonts w:ascii="Times New Roman" w:hAnsi="Times New Roman" w:cs="Times New Roman"/>
        </w:rPr>
        <w:t>Москаленского муниципального района</w:t>
      </w:r>
      <w:r w:rsidR="0069632E" w:rsidRPr="00E00367">
        <w:rPr>
          <w:rFonts w:ascii="Times New Roman" w:hAnsi="Times New Roman" w:cs="Times New Roman"/>
        </w:rPr>
        <w:t xml:space="preserve"> Омской области</w:t>
      </w:r>
      <w:r w:rsidRPr="00E00367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E00367" w:rsidTr="00E0036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E30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Конверт почтовый С4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Планинг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Pr="00E00367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E00367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E00367" w:rsidTr="00920A58">
        <w:tc>
          <w:tcPr>
            <w:tcW w:w="5165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BC" w:rsidRDefault="00F53EBC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E00367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A1383B"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 w:rsidR="00A1383B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E00367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lastRenderedPageBreak/>
        <w:t>Нормативы</w:t>
      </w:r>
    </w:p>
    <w:p w:rsidR="00920A58" w:rsidRPr="00E00367" w:rsidRDefault="00F53EBC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20A58" w:rsidRPr="00E00367">
        <w:rPr>
          <w:rFonts w:ascii="Times New Roman" w:hAnsi="Times New Roman" w:cs="Times New Roman"/>
          <w:b/>
          <w:sz w:val="28"/>
          <w:szCs w:val="28"/>
        </w:rPr>
        <w:t>а приобретение горюче-смазочных материалов</w:t>
      </w: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E00367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Лимит, 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приобретение ГСМ, руб</w:t>
            </w:r>
          </w:p>
        </w:tc>
      </w:tr>
      <w:tr w:rsidR="00BF586A" w:rsidRPr="00E00367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F53EBC" w:rsidP="00EF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ГАЗ 33061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Экскаватор ЭО-2621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Автоцистерна специализированная ГАЗ 4616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Автомобиль УАЗ -22069-04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Трактор гусеничный ДТ-75МЛ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Автомобиль LADA GRANTA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F5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53EBC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EF27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86A" w:rsidRPr="00E00367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F5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53E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6E72A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E72A4" w:rsidRPr="00E00367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Pr="00E00367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E00367" w:rsidTr="00920A58">
        <w:tc>
          <w:tcPr>
            <w:tcW w:w="5165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4" w:rsidRPr="00E00367" w:rsidRDefault="006E72A4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E00367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8139D1"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Москаленского муниципального района </w:t>
            </w:r>
            <w:r w:rsidR="008139D1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E00367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E00367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E00367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E00367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E00367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E00367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6E72A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72A4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 электрич.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Чистящее ср-во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E00367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Иные хозяйственных товаров и принадлежностей</w:t>
      </w:r>
      <w:r w:rsidRPr="00E00367"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E00367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8"/>
        <w:gridCol w:w="4952"/>
      </w:tblGrid>
      <w:tr w:rsidR="00C91A9E" w:rsidRPr="00E00367" w:rsidTr="00193C48">
        <w:tc>
          <w:tcPr>
            <w:tcW w:w="8755" w:type="dxa"/>
          </w:tcPr>
          <w:p w:rsidR="00C91A9E" w:rsidRPr="00E00367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E00367" w:rsidRDefault="00C91A9E" w:rsidP="00207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Новоцарицынского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Москаленского муниципального района  Омской области </w:t>
            </w:r>
          </w:p>
        </w:tc>
      </w:tr>
    </w:tbl>
    <w:p w:rsidR="00C91A9E" w:rsidRPr="00E00367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91A9E" w:rsidRPr="00E00367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</w:p>
    <w:p w:rsidR="00C91A9E" w:rsidRPr="00E00367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E00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E00367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E00367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E00367" w:rsidTr="00C91A9E">
        <w:trPr>
          <w:trHeight w:val="1252"/>
          <w:tblHeader/>
        </w:trPr>
        <w:tc>
          <w:tcPr>
            <w:tcW w:w="456" w:type="dxa"/>
          </w:tcPr>
          <w:p w:rsidR="00C91A9E" w:rsidRPr="00E00367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9" w:type="dxa"/>
          </w:tcPr>
          <w:p w:rsidR="00C91A9E" w:rsidRPr="00E00367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E00367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C91A9E" w:rsidRPr="00E00367" w:rsidTr="00C91A9E">
        <w:trPr>
          <w:trHeight w:val="213"/>
        </w:trPr>
        <w:tc>
          <w:tcPr>
            <w:tcW w:w="456" w:type="dxa"/>
          </w:tcPr>
          <w:p w:rsidR="00C91A9E" w:rsidRPr="00E00367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C91A9E" w:rsidRPr="00E00367" w:rsidRDefault="00C91A9E" w:rsidP="0020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 2015</w:t>
            </w:r>
          </w:p>
        </w:tc>
        <w:tc>
          <w:tcPr>
            <w:tcW w:w="844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C91A9E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C91A9E" w:rsidRPr="00E00367" w:rsidRDefault="009327ED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ML 2015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E00367" w:rsidRDefault="009327ED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="004A38EF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69620E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A61573" w:rsidRPr="00E00367">
              <w:rPr>
                <w:rFonts w:ascii="Times New Roman" w:hAnsi="Times New Roman" w:cs="Times New Roman"/>
                <w:sz w:val="28"/>
                <w:szCs w:val="28"/>
              </w:rPr>
              <w:t>SAMSUNG-ML-2017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20798B" w:rsidP="00C9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</w:tcPr>
          <w:p w:rsidR="0020798B" w:rsidRPr="00E00367" w:rsidRDefault="009327ED" w:rsidP="0069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</w:rPr>
              <w:t>Partum P2207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20798B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9620E" w:rsidRPr="00E00367" w:rsidTr="00C91A9E">
        <w:trPr>
          <w:trHeight w:val="213"/>
        </w:trPr>
        <w:tc>
          <w:tcPr>
            <w:tcW w:w="456" w:type="dxa"/>
          </w:tcPr>
          <w:p w:rsidR="0069620E" w:rsidRPr="00E00367" w:rsidRDefault="0069620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69620E" w:rsidRPr="00E00367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69620E" w:rsidRPr="00E00367" w:rsidRDefault="009327ED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BD1D66" w:rsidRPr="00E00367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E00367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E00367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AF4D92" w:rsidRDefault="00AF4D92" w:rsidP="00AF4D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проекту постановления главы Новоцарицынского сельского поселения Москаленского муниципального района Омской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 района Омской области от 27.09.2016 № 94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области» </w:t>
      </w: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4D92" w:rsidRDefault="00AF4D92" w:rsidP="00AF4D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Проект постановления главы Новоцарицынского сельского поселения Москаленского муниципального района Омской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 района Омской области от 27.09.2016 № 94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области» </w:t>
      </w:r>
    </w:p>
    <w:p w:rsidR="00AF4D92" w:rsidRDefault="00AF4D92" w:rsidP="00A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(далее – проект) разработан в соответствии со статьей 19 Федерального закона от 5 апреля 2013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", в целях приведения отдельных положений приказа в соответствие с федеральным и региональным законодательством.</w:t>
      </w:r>
    </w:p>
    <w:p w:rsidR="00AF4D92" w:rsidRDefault="00AF4D92" w:rsidP="00A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главы Новоцарицынского сельского поселения Москаленского муниципального района от 20 мая 2013 года № 18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Главы Новоцарицынского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проект размещен на официальном сайте Новоцарицынского сельского поселения Москаленского муниципального района Омской области в информационно-телекоммуникационной сети "Интернет" (адрес сайта </w:t>
      </w:r>
      <w:hyperlink r:id="rId103" w:history="1">
        <w:r>
          <w:rPr>
            <w:rStyle w:val="ab"/>
            <w:rFonts w:ascii="Times New Roman" w:hAnsi="Times New Roman"/>
            <w:sz w:val="28"/>
            <w:szCs w:val="28"/>
          </w:rPr>
          <w:t>www.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moskal</w:t>
        </w:r>
        <w:r>
          <w:rPr>
            <w:rStyle w:val="ab"/>
            <w:rFonts w:ascii="Times New Roman" w:hAnsi="Times New Roman"/>
            <w:sz w:val="28"/>
            <w:szCs w:val="28"/>
          </w:rPr>
          <w:t>.omskportal.ru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экспертизы. Дата начала приема заключений – 01 сентября 2023 года, дата окончания приема заключений –7 сентября 2023 года 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размещен в единой информационной системе в сфере закупок для проведения обсуждения в целях общественного контроля.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обсуждения проекта устанавливается с 1 сентября 2023 года по </w:t>
      </w:r>
      <w:r>
        <w:rPr>
          <w:rFonts w:ascii="Times New Roman" w:hAnsi="Times New Roman"/>
          <w:sz w:val="28"/>
        </w:rPr>
        <w:br/>
        <w:t>7 сентября 2023 года включительно.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AF4D92" w:rsidRDefault="00AF4D92" w:rsidP="00AF4D9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Почтовый адрес для направления предложений: 646083, Омская область, Москаленский район, село Новоцарицыно, ул. Центральная, д. 60 или на электронную почту: </w:t>
      </w:r>
      <w:hyperlink r:id="rId104" w:history="1">
        <w:r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novocaricino</w:t>
        </w:r>
        <w:r>
          <w:rPr>
            <w:rStyle w:val="ab"/>
            <w:rFonts w:ascii="Times New Roman" w:eastAsia="Calibri" w:hAnsi="Times New Roman"/>
            <w:sz w:val="28"/>
            <w:szCs w:val="28"/>
          </w:rPr>
          <w:t>@</w:t>
        </w:r>
        <w:r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mail</w:t>
        </w:r>
        <w:r>
          <w:rPr>
            <w:rStyle w:val="ab"/>
            <w:rFonts w:ascii="Times New Roman" w:eastAsia="Calibri" w:hAnsi="Times New Roman"/>
            <w:sz w:val="28"/>
            <w:szCs w:val="28"/>
          </w:rPr>
          <w:t>.ru</w:t>
        </w:r>
      </w:hyperlink>
      <w:r>
        <w:rPr>
          <w:rFonts w:ascii="Times New Roman" w:eastAsia="Calibri" w:hAnsi="Times New Roman"/>
          <w:sz w:val="28"/>
          <w:szCs w:val="28"/>
        </w:rPr>
        <w:t>.</w:t>
      </w:r>
    </w:p>
    <w:p w:rsidR="00AF4D92" w:rsidRDefault="00AF4D92" w:rsidP="00AF4D92">
      <w:pPr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Контактный телефон: 8(38174) 3-41-90 </w:t>
      </w:r>
    </w:p>
    <w:p w:rsidR="00AF4D92" w:rsidRPr="00E24FA5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sectPr w:rsidR="00AF4D92" w:rsidRPr="00E24FA5" w:rsidSect="00066398">
      <w:headerReference w:type="default" r:id="rId105"/>
      <w:headerReference w:type="first" r:id="rId106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11" w:rsidRDefault="00FC5611" w:rsidP="00511D5C">
      <w:pPr>
        <w:spacing w:after="0" w:line="240" w:lineRule="auto"/>
      </w:pPr>
      <w:r>
        <w:separator/>
      </w:r>
    </w:p>
  </w:endnote>
  <w:endnote w:type="continuationSeparator" w:id="1">
    <w:p w:rsidR="00FC5611" w:rsidRDefault="00FC5611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11" w:rsidRDefault="00FC5611" w:rsidP="00511D5C">
      <w:pPr>
        <w:spacing w:after="0" w:line="240" w:lineRule="auto"/>
      </w:pPr>
      <w:r>
        <w:separator/>
      </w:r>
    </w:p>
  </w:footnote>
  <w:footnote w:type="continuationSeparator" w:id="1">
    <w:p w:rsidR="00FC5611" w:rsidRDefault="00FC5611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C5" w:rsidRPr="003308A6" w:rsidRDefault="00AC23B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="00E233C5"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460357">
      <w:rPr>
        <w:rFonts w:ascii="Times New Roman" w:hAnsi="Times New Roman" w:cs="Times New Roman"/>
        <w:noProof/>
        <w:sz w:val="28"/>
        <w:szCs w:val="28"/>
      </w:rPr>
      <w:t>13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E233C5" w:rsidRDefault="00E233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C5" w:rsidRDefault="00E233C5">
    <w:pPr>
      <w:pStyle w:val="a5"/>
      <w:jc w:val="center"/>
    </w:pPr>
  </w:p>
  <w:p w:rsidR="00E233C5" w:rsidRDefault="00E23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03B5"/>
    <w:rsid w:val="00000CDD"/>
    <w:rsid w:val="0000116B"/>
    <w:rsid w:val="00001A8A"/>
    <w:rsid w:val="000020BD"/>
    <w:rsid w:val="00002692"/>
    <w:rsid w:val="00003B38"/>
    <w:rsid w:val="00005CC7"/>
    <w:rsid w:val="00006695"/>
    <w:rsid w:val="0000757A"/>
    <w:rsid w:val="0001046E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3924"/>
    <w:rsid w:val="000D62B4"/>
    <w:rsid w:val="000D6C17"/>
    <w:rsid w:val="000D7698"/>
    <w:rsid w:val="000E0F78"/>
    <w:rsid w:val="000E3EB7"/>
    <w:rsid w:val="000E3F92"/>
    <w:rsid w:val="000E48BF"/>
    <w:rsid w:val="000F24E5"/>
    <w:rsid w:val="000F32A1"/>
    <w:rsid w:val="000F381F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5012"/>
    <w:rsid w:val="001350B3"/>
    <w:rsid w:val="00135221"/>
    <w:rsid w:val="00135386"/>
    <w:rsid w:val="001362A6"/>
    <w:rsid w:val="001366DB"/>
    <w:rsid w:val="00136D4D"/>
    <w:rsid w:val="00142247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5B3"/>
    <w:rsid w:val="001D11A1"/>
    <w:rsid w:val="001D199E"/>
    <w:rsid w:val="001D3320"/>
    <w:rsid w:val="001D4251"/>
    <w:rsid w:val="001D678E"/>
    <w:rsid w:val="001D6860"/>
    <w:rsid w:val="001E0208"/>
    <w:rsid w:val="001E044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2003C5"/>
    <w:rsid w:val="002025B8"/>
    <w:rsid w:val="00204F92"/>
    <w:rsid w:val="002064A6"/>
    <w:rsid w:val="0020798B"/>
    <w:rsid w:val="00210780"/>
    <w:rsid w:val="0021293E"/>
    <w:rsid w:val="00215590"/>
    <w:rsid w:val="0021799D"/>
    <w:rsid w:val="00224F15"/>
    <w:rsid w:val="0023061E"/>
    <w:rsid w:val="002313AC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FB6"/>
    <w:rsid w:val="002A0C5A"/>
    <w:rsid w:val="002A1C38"/>
    <w:rsid w:val="002A2178"/>
    <w:rsid w:val="002A21AD"/>
    <w:rsid w:val="002A3D37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DE3"/>
    <w:rsid w:val="0032616B"/>
    <w:rsid w:val="003308A6"/>
    <w:rsid w:val="00332E0A"/>
    <w:rsid w:val="00333BF6"/>
    <w:rsid w:val="00333E6F"/>
    <w:rsid w:val="003378EA"/>
    <w:rsid w:val="00345F55"/>
    <w:rsid w:val="003460B3"/>
    <w:rsid w:val="003462E2"/>
    <w:rsid w:val="00347EB9"/>
    <w:rsid w:val="003516F1"/>
    <w:rsid w:val="0035326E"/>
    <w:rsid w:val="003533E9"/>
    <w:rsid w:val="003539D7"/>
    <w:rsid w:val="00356447"/>
    <w:rsid w:val="0036020E"/>
    <w:rsid w:val="00362BC3"/>
    <w:rsid w:val="00365BDB"/>
    <w:rsid w:val="00366CCF"/>
    <w:rsid w:val="00367CC6"/>
    <w:rsid w:val="00370FB4"/>
    <w:rsid w:val="00372F8B"/>
    <w:rsid w:val="0037333D"/>
    <w:rsid w:val="003741BA"/>
    <w:rsid w:val="003744A6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E0610"/>
    <w:rsid w:val="003E1FA3"/>
    <w:rsid w:val="003E2384"/>
    <w:rsid w:val="003E3AA1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357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E7951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3F1C"/>
    <w:rsid w:val="00603FF0"/>
    <w:rsid w:val="006059F5"/>
    <w:rsid w:val="00605D05"/>
    <w:rsid w:val="00607002"/>
    <w:rsid w:val="006075D5"/>
    <w:rsid w:val="006103F9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E72A4"/>
    <w:rsid w:val="006F2B45"/>
    <w:rsid w:val="006F3FFB"/>
    <w:rsid w:val="006F7501"/>
    <w:rsid w:val="006F76DD"/>
    <w:rsid w:val="006F770C"/>
    <w:rsid w:val="0070038F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97684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1416"/>
    <w:rsid w:val="008139D1"/>
    <w:rsid w:val="00815290"/>
    <w:rsid w:val="00815813"/>
    <w:rsid w:val="00816D1C"/>
    <w:rsid w:val="00817587"/>
    <w:rsid w:val="0082020A"/>
    <w:rsid w:val="00820E52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70C3"/>
    <w:rsid w:val="00857A1A"/>
    <w:rsid w:val="00860FD1"/>
    <w:rsid w:val="00861B06"/>
    <w:rsid w:val="0086297E"/>
    <w:rsid w:val="008633B2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FAF"/>
    <w:rsid w:val="00886DE6"/>
    <w:rsid w:val="00887CDE"/>
    <w:rsid w:val="00890D18"/>
    <w:rsid w:val="00890FB6"/>
    <w:rsid w:val="008919FD"/>
    <w:rsid w:val="00891B00"/>
    <w:rsid w:val="00893379"/>
    <w:rsid w:val="00893F82"/>
    <w:rsid w:val="008946CF"/>
    <w:rsid w:val="008950F4"/>
    <w:rsid w:val="00895854"/>
    <w:rsid w:val="008A36A3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27ED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CC1"/>
    <w:rsid w:val="009812DD"/>
    <w:rsid w:val="0098572C"/>
    <w:rsid w:val="00986A8D"/>
    <w:rsid w:val="00987537"/>
    <w:rsid w:val="0099167C"/>
    <w:rsid w:val="00991940"/>
    <w:rsid w:val="0099291C"/>
    <w:rsid w:val="009945D0"/>
    <w:rsid w:val="00994F97"/>
    <w:rsid w:val="009970A8"/>
    <w:rsid w:val="00997440"/>
    <w:rsid w:val="009A6A13"/>
    <w:rsid w:val="009B03C6"/>
    <w:rsid w:val="009B0582"/>
    <w:rsid w:val="009B2AA0"/>
    <w:rsid w:val="009C0E32"/>
    <w:rsid w:val="009C20B0"/>
    <w:rsid w:val="009C3371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3820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5555"/>
    <w:rsid w:val="00AC05BC"/>
    <w:rsid w:val="00AC1567"/>
    <w:rsid w:val="00AC1826"/>
    <w:rsid w:val="00AC23BC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1021"/>
    <w:rsid w:val="00AF3415"/>
    <w:rsid w:val="00AF4D92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2000A"/>
    <w:rsid w:val="00B227F4"/>
    <w:rsid w:val="00B23528"/>
    <w:rsid w:val="00B25513"/>
    <w:rsid w:val="00B25ECB"/>
    <w:rsid w:val="00B307FD"/>
    <w:rsid w:val="00B31C63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517"/>
    <w:rsid w:val="00B77BB2"/>
    <w:rsid w:val="00B8202E"/>
    <w:rsid w:val="00B82A52"/>
    <w:rsid w:val="00B84767"/>
    <w:rsid w:val="00B85829"/>
    <w:rsid w:val="00B85E60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341E"/>
    <w:rsid w:val="00BF586A"/>
    <w:rsid w:val="00BF5ACC"/>
    <w:rsid w:val="00C0160F"/>
    <w:rsid w:val="00C02934"/>
    <w:rsid w:val="00C04476"/>
    <w:rsid w:val="00C06955"/>
    <w:rsid w:val="00C07B18"/>
    <w:rsid w:val="00C07C1A"/>
    <w:rsid w:val="00C12E5F"/>
    <w:rsid w:val="00C13ED5"/>
    <w:rsid w:val="00C14FEC"/>
    <w:rsid w:val="00C150B7"/>
    <w:rsid w:val="00C1524C"/>
    <w:rsid w:val="00C155BB"/>
    <w:rsid w:val="00C22DCD"/>
    <w:rsid w:val="00C24921"/>
    <w:rsid w:val="00C24BC8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3452"/>
    <w:rsid w:val="00CC3870"/>
    <w:rsid w:val="00CC48C9"/>
    <w:rsid w:val="00CC5581"/>
    <w:rsid w:val="00CC6E4F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4333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367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33C5"/>
    <w:rsid w:val="00E24FA5"/>
    <w:rsid w:val="00E255CA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C74"/>
    <w:rsid w:val="00E47865"/>
    <w:rsid w:val="00E47EA3"/>
    <w:rsid w:val="00E51393"/>
    <w:rsid w:val="00E51A43"/>
    <w:rsid w:val="00E52B83"/>
    <w:rsid w:val="00E574B2"/>
    <w:rsid w:val="00E614D0"/>
    <w:rsid w:val="00E6494A"/>
    <w:rsid w:val="00E6657F"/>
    <w:rsid w:val="00E66DFB"/>
    <w:rsid w:val="00E672BB"/>
    <w:rsid w:val="00E70B89"/>
    <w:rsid w:val="00E70E1B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E67"/>
    <w:rsid w:val="00E90C66"/>
    <w:rsid w:val="00E92BAE"/>
    <w:rsid w:val="00E9456F"/>
    <w:rsid w:val="00E945F6"/>
    <w:rsid w:val="00E96DD5"/>
    <w:rsid w:val="00E9706B"/>
    <w:rsid w:val="00E974C0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274F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3EBC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4191"/>
    <w:rsid w:val="00FA5117"/>
    <w:rsid w:val="00FA64D7"/>
    <w:rsid w:val="00FA6BDB"/>
    <w:rsid w:val="00FB2F49"/>
    <w:rsid w:val="00FB4BCB"/>
    <w:rsid w:val="00FB5CFB"/>
    <w:rsid w:val="00FB78B4"/>
    <w:rsid w:val="00FB7D75"/>
    <w:rsid w:val="00FB7F9E"/>
    <w:rsid w:val="00FC109F"/>
    <w:rsid w:val="00FC259E"/>
    <w:rsid w:val="00FC2EB7"/>
    <w:rsid w:val="00FC37D8"/>
    <w:rsid w:val="00FC3ED5"/>
    <w:rsid w:val="00FC4343"/>
    <w:rsid w:val="00FC5611"/>
    <w:rsid w:val="00FC579E"/>
    <w:rsid w:val="00FC649B"/>
    <w:rsid w:val="00FC7E1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Дата1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6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Дата1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6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7.wmf"/><Relationship Id="rId77" Type="http://schemas.openxmlformats.org/officeDocument/2006/relationships/hyperlink" Target="consultantplus://offline/ref=82CB8147CB449787A09B7A38611C29F8AEE71AF7B23C16DD3BD1FD36DA72ACFF7B25C2E30A25E68Fw7gAK" TargetMode="External"/><Relationship Id="rId100" Type="http://schemas.openxmlformats.org/officeDocument/2006/relationships/image" Target="media/image76.wmf"/><Relationship Id="rId105" Type="http://schemas.openxmlformats.org/officeDocument/2006/relationships/header" Target="header1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3" Type="http://schemas.openxmlformats.org/officeDocument/2006/relationships/hyperlink" Target="http://www.moskal.omskportal.ru" TargetMode="External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header" Target="header2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109" Type="http://schemas.microsoft.com/office/2007/relationships/stylesWithEffects" Target="stylesWithEffects.xml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2CB8147CB449787A09B7A38611C29F8AEE81AFFB33916DD3BD1FD36DA72ACFF7B25C2E30A25E486w7g5K" TargetMode="External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yperlink" Target="mailto:novocaricino@mail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2E599-AFC4-4D25-BAA0-4339FD6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привет</cp:lastModifiedBy>
  <cp:revision>10</cp:revision>
  <cp:lastPrinted>2020-09-28T02:18:00Z</cp:lastPrinted>
  <dcterms:created xsi:type="dcterms:W3CDTF">2022-09-13T09:11:00Z</dcterms:created>
  <dcterms:modified xsi:type="dcterms:W3CDTF">2023-08-31T08:24:00Z</dcterms:modified>
</cp:coreProperties>
</file>