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71F" w:rsidRDefault="00A8152A" w:rsidP="007E3F28">
      <w:pPr>
        <w:spacing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«Банк земли»</w:t>
      </w:r>
      <w:r w:rsidR="002D5EF3" w:rsidRPr="00507380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Омской области пополнился </w:t>
      </w:r>
      <w:r w:rsidR="006A738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на 92 га</w:t>
      </w:r>
      <w:r w:rsidR="009948C4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</w:t>
      </w:r>
      <w:r w:rsidR="006A7381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за счет строительного потенциала земель Русско-Полянского муниципального района</w:t>
      </w:r>
    </w:p>
    <w:p w:rsidR="00A8152A" w:rsidRPr="00507380" w:rsidRDefault="001C0274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Штаб по выявлению </w:t>
      </w:r>
      <w:r w:rsidR="00BE602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в регионе </w:t>
      </w: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пригодных для строительства </w:t>
      </w:r>
      <w:r w:rsidR="00BE602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земель, созданный при омском </w:t>
      </w:r>
      <w:proofErr w:type="spellStart"/>
      <w:r w:rsidR="00BE602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Росреестре</w:t>
      </w:r>
      <w:proofErr w:type="spellEnd"/>
      <w:r w:rsidR="00BE602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, продолжает расширять географию </w:t>
      </w:r>
      <w:r w:rsidR="00FA4D0C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своих </w:t>
      </w:r>
      <w:r w:rsidR="00C248AA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поисков. Так, по итогам последнего заседания штаба, региональный «Банк земли»</w:t>
      </w:r>
      <w:r w:rsidR="00FA4D0C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пополнился </w:t>
      </w:r>
      <w:r w:rsidR="00FA4D0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214</w:t>
      </w:r>
      <w:r w:rsidR="00FA4D0C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</w:t>
      </w:r>
      <w:r w:rsidR="00806225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участками общей площадью </w:t>
      </w:r>
      <w:r w:rsidR="0050738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92</w:t>
      </w:r>
      <w:r w:rsidR="00806225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га</w:t>
      </w:r>
      <w:r w:rsidR="00FA4D0C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, выявленными </w:t>
      </w:r>
      <w:r w:rsidR="0043308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в пределах Русско-Полянского муниципального района, при этом 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202</w:t>
      </w:r>
      <w:r w:rsidR="0043308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участк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а</w:t>
      </w:r>
      <w:r w:rsidR="0043308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площадью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4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1 га – в границах села Солнечное, 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1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2 участка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ми площадью 51 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га – </w:t>
      </w:r>
      <w:r w:rsidR="007B7055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на территории </w:t>
      </w:r>
      <w:r w:rsidR="008E700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самого 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районного поселка Русская Поляна</w:t>
      </w:r>
      <w:r w:rsidR="007B7055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.</w:t>
      </w:r>
      <w:r w:rsidR="000466E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</w:t>
      </w:r>
    </w:p>
    <w:p w:rsidR="00607A85" w:rsidRPr="00507380" w:rsidRDefault="00D72A80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В настоящее время 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в перечне «Банк</w:t>
      </w:r>
      <w:r w:rsidR="00A14D4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а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земли» Омской области на</w:t>
      </w:r>
      <w:r w:rsidR="00A14D4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х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одится 1019 пригодных для стр</w:t>
      </w:r>
      <w:r w:rsidR="00A14D4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оитель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с</w:t>
      </w:r>
      <w:r w:rsidR="00A14D43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т</w:t>
      </w:r>
      <w:r w:rsidR="008A23F1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ва участков общей площадью</w:t>
      </w:r>
      <w:r w:rsidR="009B798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1252 га. До этого «Банк» пополнялся землями </w:t>
      </w:r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городов Омска, Калачинска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, </w:t>
      </w:r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Исилькуля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и деревни </w:t>
      </w:r>
      <w:proofErr w:type="spellStart"/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Аполлоновка</w:t>
      </w:r>
      <w:proofErr w:type="spellEnd"/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</w:t>
      </w:r>
      <w:proofErr w:type="spellStart"/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Исилькульского</w:t>
      </w:r>
      <w:proofErr w:type="spellEnd"/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муниципального района, </w:t>
      </w:r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сел Азово, Сосновка и деревни </w:t>
      </w:r>
      <w:proofErr w:type="spellStart"/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Гауф</w:t>
      </w:r>
      <w:proofErr w:type="spellEnd"/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Азовского национального муниципального района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, Полтавско</w:t>
      </w:r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го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городско</w:t>
      </w:r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го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поселени</w:t>
      </w:r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я</w:t>
      </w:r>
      <w:r w:rsidR="00CC76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Полтавского муниципального района, </w:t>
      </w:r>
      <w:proofErr w:type="spellStart"/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Павлоградского</w:t>
      </w:r>
      <w:proofErr w:type="spellEnd"/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городского поселения </w:t>
      </w:r>
      <w:proofErr w:type="spellStart"/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Павлоградского</w:t>
      </w:r>
      <w:proofErr w:type="spellEnd"/>
      <w:r w:rsidR="00085E3E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муниципального района, сел </w:t>
      </w:r>
      <w:r w:rsidR="002464D0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Троицкое, Пушкино, Андреевка</w:t>
      </w:r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="00085E3E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сел </w:t>
      </w:r>
      <w:proofErr w:type="spellStart"/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Ачаир</w:t>
      </w:r>
      <w:proofErr w:type="spellEnd"/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proofErr w:type="spellStart"/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Богословка</w:t>
      </w:r>
      <w:proofErr w:type="spellEnd"/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proofErr w:type="spellStart"/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Лузино</w:t>
      </w:r>
      <w:proofErr w:type="spellEnd"/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</w:t>
      </w:r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посел</w:t>
      </w:r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ков</w:t>
      </w:r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Иртышский</w:t>
      </w:r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</w:t>
      </w:r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proofErr w:type="spellStart"/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Ачаирский</w:t>
      </w:r>
      <w:proofErr w:type="spellEnd"/>
      <w:r w:rsidR="00304836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(Комсомольское сельское поселение)</w:t>
      </w:r>
      <w:r w:rsidR="002464D0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Омского муниципального района Омской области</w:t>
      </w:r>
      <w:r w:rsidR="00A6417C" w:rsidRPr="0050738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</w:t>
      </w:r>
    </w:p>
    <w:p w:rsidR="002464D0" w:rsidRPr="00507380" w:rsidRDefault="00082043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Задачи </w:t>
      </w:r>
      <w:r w:rsidR="005A05C4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перед региональным штабом </w:t>
      </w:r>
      <w:r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по постоянному наполнению «Банка земли» Омской области стоят в рамках реализации проекта «Земля для стройки», входящего в госпрограмму «Национальная система пространственных данных». </w:t>
      </w:r>
      <w:r w:rsidR="005A05C4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В настоящее время на Публичной кадастровой карте, ориентированной прежде всего на потенциальных застройщиков и крупных инвесторов, </w:t>
      </w:r>
      <w:r w:rsidR="006E2C7F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размещено 734 земельных участка общей площадью 533 га, пригодных для строительства. На 01.11.23 уже вовлечены в оборот 117 участков площадью 127,3 га под постройку как индивидуальных, так и многоквартирных домов.  </w:t>
      </w:r>
    </w:p>
    <w:p w:rsidR="001B6002" w:rsidRPr="00507380" w:rsidRDefault="006510B5" w:rsidP="007E3F28">
      <w:pPr>
        <w:spacing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«Согласно плану-графику, Омская область должна достигнуть планового показателя по выявлению пригодных под строительство земель нарастающим итогом в октябре этого года 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–</w:t>
      </w:r>
      <w:r w:rsidR="00610F77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1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 082,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99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га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, в ноябре 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–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1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106.69 га. По итогам 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ежемесячных 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заседани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й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о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перативного штаба </w:t>
      </w:r>
      <w:r w:rsidR="00EB00A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в настоящее время 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целевой показатель составляет</w:t>
      </w:r>
      <w:r w:rsidR="00EB00A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уже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1</w:t>
      </w:r>
      <w:r w:rsidR="000D605F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 </w:t>
      </w:r>
      <w:r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 xml:space="preserve">125 га, что превышает </w:t>
      </w:r>
      <w:r w:rsidR="001B6002" w:rsidRPr="0050738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  <w:lang w:eastAsia="ru-RU"/>
        </w:rPr>
        <w:t>установленный для октября на 42 га и для ноября на 18 га»</w:t>
      </w:r>
      <w:r w:rsidR="001B6002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, – отметил руководитель Управления </w:t>
      </w:r>
      <w:proofErr w:type="spellStart"/>
      <w:r w:rsidR="001B6002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>Росреестра</w:t>
      </w:r>
      <w:proofErr w:type="spellEnd"/>
      <w:r w:rsidR="001B6002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по Омской области </w:t>
      </w:r>
      <w:r w:rsidR="001B6002" w:rsidRPr="00507380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Сергей Чаплин.</w:t>
      </w:r>
      <w:r w:rsidR="001B6002" w:rsidRPr="0050738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  <w:lang w:eastAsia="ru-RU"/>
        </w:rPr>
        <w:t xml:space="preserve"> </w:t>
      </w:r>
    </w:p>
    <w:p w:rsidR="00D5642C" w:rsidRDefault="00D5642C" w:rsidP="00E50B2F">
      <w:pPr>
        <w:spacing w:line="240" w:lineRule="auto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</w:p>
    <w:p w:rsidR="00D5642C" w:rsidRPr="00507380" w:rsidRDefault="00F006C4" w:rsidP="00E50B2F">
      <w:pPr>
        <w:spacing w:line="240" w:lineRule="auto"/>
        <w:outlineLvl w:val="0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50738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Пресс-с</w:t>
      </w:r>
      <w:r w:rsidR="00144E5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лужба Управления </w:t>
      </w:r>
      <w:proofErr w:type="spellStart"/>
      <w:r w:rsidR="00144E5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Росреестра</w:t>
      </w:r>
      <w:proofErr w:type="spellEnd"/>
      <w:r w:rsidR="00144E5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по </w:t>
      </w:r>
      <w:r w:rsidR="00D5642C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Омской области</w:t>
      </w:r>
      <w:bookmarkStart w:id="0" w:name="_GoBack"/>
      <w:bookmarkEnd w:id="0"/>
    </w:p>
    <w:sectPr w:rsidR="00D5642C" w:rsidRPr="00507380" w:rsidSect="00D33F05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C9"/>
    <w:rsid w:val="000109F3"/>
    <w:rsid w:val="00036AC9"/>
    <w:rsid w:val="000466E0"/>
    <w:rsid w:val="00082043"/>
    <w:rsid w:val="00085E3E"/>
    <w:rsid w:val="0009793B"/>
    <w:rsid w:val="000D605F"/>
    <w:rsid w:val="00110116"/>
    <w:rsid w:val="00117D7C"/>
    <w:rsid w:val="00144E5A"/>
    <w:rsid w:val="00157CFF"/>
    <w:rsid w:val="001826BC"/>
    <w:rsid w:val="001A7CF7"/>
    <w:rsid w:val="001B2B65"/>
    <w:rsid w:val="001B6002"/>
    <w:rsid w:val="001C0274"/>
    <w:rsid w:val="001C10B9"/>
    <w:rsid w:val="001F32A8"/>
    <w:rsid w:val="0023722C"/>
    <w:rsid w:val="002464D0"/>
    <w:rsid w:val="00265D5B"/>
    <w:rsid w:val="00267EB6"/>
    <w:rsid w:val="002D5EF3"/>
    <w:rsid w:val="002F610F"/>
    <w:rsid w:val="00304836"/>
    <w:rsid w:val="00307A74"/>
    <w:rsid w:val="003819CB"/>
    <w:rsid w:val="0039272A"/>
    <w:rsid w:val="003A4E17"/>
    <w:rsid w:val="003A5F3F"/>
    <w:rsid w:val="003C1FA8"/>
    <w:rsid w:val="003C5F07"/>
    <w:rsid w:val="00433080"/>
    <w:rsid w:val="00435EB1"/>
    <w:rsid w:val="00462EBC"/>
    <w:rsid w:val="0046598A"/>
    <w:rsid w:val="0049081C"/>
    <w:rsid w:val="00507380"/>
    <w:rsid w:val="00537E1B"/>
    <w:rsid w:val="00541EE1"/>
    <w:rsid w:val="00566903"/>
    <w:rsid w:val="005A05C4"/>
    <w:rsid w:val="005E20A7"/>
    <w:rsid w:val="00607A85"/>
    <w:rsid w:val="00610F77"/>
    <w:rsid w:val="006510B5"/>
    <w:rsid w:val="00652787"/>
    <w:rsid w:val="006A7381"/>
    <w:rsid w:val="006D3326"/>
    <w:rsid w:val="006E2C7F"/>
    <w:rsid w:val="00757D67"/>
    <w:rsid w:val="007651D6"/>
    <w:rsid w:val="00783624"/>
    <w:rsid w:val="00797BE8"/>
    <w:rsid w:val="007B7055"/>
    <w:rsid w:val="007D7245"/>
    <w:rsid w:val="007E3F28"/>
    <w:rsid w:val="00802D3E"/>
    <w:rsid w:val="00806225"/>
    <w:rsid w:val="00815987"/>
    <w:rsid w:val="00821D0A"/>
    <w:rsid w:val="00866991"/>
    <w:rsid w:val="0088773A"/>
    <w:rsid w:val="008A23F1"/>
    <w:rsid w:val="008D5789"/>
    <w:rsid w:val="008E700F"/>
    <w:rsid w:val="008F076D"/>
    <w:rsid w:val="00915F6C"/>
    <w:rsid w:val="0091640F"/>
    <w:rsid w:val="009567C0"/>
    <w:rsid w:val="00977F18"/>
    <w:rsid w:val="009948C4"/>
    <w:rsid w:val="009A3512"/>
    <w:rsid w:val="009B798F"/>
    <w:rsid w:val="009C788F"/>
    <w:rsid w:val="00A07EC2"/>
    <w:rsid w:val="00A14D43"/>
    <w:rsid w:val="00A208CF"/>
    <w:rsid w:val="00A6417C"/>
    <w:rsid w:val="00A8152A"/>
    <w:rsid w:val="00A86183"/>
    <w:rsid w:val="00AB31EA"/>
    <w:rsid w:val="00AC12C4"/>
    <w:rsid w:val="00B017F3"/>
    <w:rsid w:val="00BA2E78"/>
    <w:rsid w:val="00BE6023"/>
    <w:rsid w:val="00BE64C8"/>
    <w:rsid w:val="00C15523"/>
    <w:rsid w:val="00C20A72"/>
    <w:rsid w:val="00C248AA"/>
    <w:rsid w:val="00C36DE3"/>
    <w:rsid w:val="00CC700B"/>
    <w:rsid w:val="00CC763E"/>
    <w:rsid w:val="00CD3262"/>
    <w:rsid w:val="00CF1742"/>
    <w:rsid w:val="00D03B32"/>
    <w:rsid w:val="00D06447"/>
    <w:rsid w:val="00D31DEA"/>
    <w:rsid w:val="00D33F05"/>
    <w:rsid w:val="00D41EF1"/>
    <w:rsid w:val="00D50B52"/>
    <w:rsid w:val="00D5642C"/>
    <w:rsid w:val="00D70F4E"/>
    <w:rsid w:val="00D72A80"/>
    <w:rsid w:val="00D73E9F"/>
    <w:rsid w:val="00D8218E"/>
    <w:rsid w:val="00D92277"/>
    <w:rsid w:val="00D97E5B"/>
    <w:rsid w:val="00DB071F"/>
    <w:rsid w:val="00DB3727"/>
    <w:rsid w:val="00DC4289"/>
    <w:rsid w:val="00DD1370"/>
    <w:rsid w:val="00DE6708"/>
    <w:rsid w:val="00E50B2F"/>
    <w:rsid w:val="00E543D0"/>
    <w:rsid w:val="00E773C9"/>
    <w:rsid w:val="00EB00AF"/>
    <w:rsid w:val="00EC299A"/>
    <w:rsid w:val="00EE1A0C"/>
    <w:rsid w:val="00EE58F4"/>
    <w:rsid w:val="00EF4AE7"/>
    <w:rsid w:val="00F006C4"/>
    <w:rsid w:val="00F205AA"/>
    <w:rsid w:val="00F8379E"/>
    <w:rsid w:val="00FA4D0C"/>
    <w:rsid w:val="00FD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D7C7"/>
  <w15:chartTrackingRefBased/>
  <w15:docId w15:val="{706BE9D1-8A3E-4748-9D12-7FD9EDBA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3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E3F2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7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2141">
          <w:blockQuote w:val="1"/>
          <w:marLeft w:val="120"/>
          <w:marRight w:val="0"/>
          <w:marTop w:val="300"/>
          <w:marBottom w:val="300"/>
          <w:divBdr>
            <w:top w:val="none" w:sz="0" w:space="0" w:color="auto"/>
            <w:left w:val="single" w:sz="12" w:space="10" w:color="D82D22"/>
            <w:bottom w:val="none" w:sz="0" w:space="0" w:color="auto"/>
            <w:right w:val="none" w:sz="0" w:space="0" w:color="auto"/>
          </w:divBdr>
        </w:div>
      </w:divsChild>
    </w:div>
    <w:div w:id="210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88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8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13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90239">
                      <w:marLeft w:val="0"/>
                      <w:marRight w:val="0"/>
                      <w:marTop w:val="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3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87263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58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987536">
                                  <w:blockQuote w:val="1"/>
                                  <w:marLeft w:val="12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single" w:sz="12" w:space="10" w:color="D82D22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174</cp:revision>
  <cp:lastPrinted>2023-11-07T07:43:00Z</cp:lastPrinted>
  <dcterms:created xsi:type="dcterms:W3CDTF">2023-07-06T07:40:00Z</dcterms:created>
  <dcterms:modified xsi:type="dcterms:W3CDTF">2023-11-07T10:26:00Z</dcterms:modified>
</cp:coreProperties>
</file>